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0"/>
      </w:tblGrid>
      <w:tr w:rsidR="00694515" w:rsidTr="001447CB">
        <w:trPr>
          <w:trHeight w:val="1027"/>
        </w:trPr>
        <w:tc>
          <w:tcPr>
            <w:tcW w:w="10610" w:type="dxa"/>
          </w:tcPr>
          <w:p w:rsidR="00187217" w:rsidRDefault="00187217" w:rsidP="00187217">
            <w:pPr>
              <w:jc w:val="center"/>
              <w:rPr>
                <w:rFonts w:ascii="Arial" w:hAnsi="Arial" w:cs="Arial"/>
                <w:b/>
                <w:sz w:val="28"/>
                <w:szCs w:val="28"/>
              </w:rPr>
            </w:pPr>
            <w:r w:rsidRPr="00187217">
              <w:rPr>
                <w:rFonts w:ascii="Arial" w:hAnsi="Arial" w:cs="Arial"/>
                <w:b/>
                <w:sz w:val="28"/>
                <w:szCs w:val="28"/>
              </w:rPr>
              <w:t>Recreation Ground Trust</w:t>
            </w:r>
          </w:p>
          <w:p w:rsidR="00694515" w:rsidRPr="00187217" w:rsidRDefault="00694515" w:rsidP="00187217">
            <w:pPr>
              <w:jc w:val="center"/>
              <w:rPr>
                <w:b/>
                <w:sz w:val="48"/>
                <w:szCs w:val="48"/>
              </w:rPr>
            </w:pPr>
            <w:r w:rsidRPr="00187217">
              <w:rPr>
                <w:rFonts w:ascii="Arial" w:hAnsi="Arial" w:cs="Arial"/>
                <w:b/>
                <w:sz w:val="28"/>
                <w:szCs w:val="28"/>
              </w:rPr>
              <w:t>Fees and Conditions of Hire</w:t>
            </w:r>
          </w:p>
        </w:tc>
      </w:tr>
    </w:tbl>
    <w:p w:rsidR="00187217" w:rsidRDefault="00187217" w:rsidP="00694515">
      <w:pPr>
        <w:pStyle w:val="Default"/>
        <w:rPr>
          <w:b/>
          <w:bCs/>
          <w:sz w:val="22"/>
          <w:szCs w:val="22"/>
        </w:rPr>
      </w:pPr>
    </w:p>
    <w:p w:rsidR="00694515" w:rsidRPr="005247F7" w:rsidRDefault="00694515" w:rsidP="00694515">
      <w:pPr>
        <w:pStyle w:val="Default"/>
        <w:rPr>
          <w:sz w:val="22"/>
          <w:szCs w:val="22"/>
        </w:rPr>
      </w:pPr>
      <w:r w:rsidRPr="005247F7">
        <w:rPr>
          <w:b/>
          <w:bCs/>
          <w:sz w:val="22"/>
          <w:szCs w:val="22"/>
        </w:rPr>
        <w:t xml:space="preserve">Type of Event Fee Details </w:t>
      </w:r>
    </w:p>
    <w:p w:rsidR="006B4C46" w:rsidRDefault="00B96AFE" w:rsidP="00187217">
      <w:pPr>
        <w:pStyle w:val="Default"/>
        <w:rPr>
          <w:sz w:val="22"/>
          <w:szCs w:val="22"/>
        </w:rPr>
      </w:pPr>
      <w:r>
        <w:rPr>
          <w:sz w:val="22"/>
          <w:szCs w:val="22"/>
        </w:rPr>
        <w:t xml:space="preserve">School </w:t>
      </w:r>
      <w:bookmarkStart w:id="0" w:name="_GoBack"/>
      <w:bookmarkEnd w:id="0"/>
      <w:r w:rsidR="00694515" w:rsidRPr="005247F7">
        <w:rPr>
          <w:sz w:val="22"/>
          <w:szCs w:val="22"/>
        </w:rPr>
        <w:t>group events</w:t>
      </w:r>
      <w:r w:rsidR="00187217">
        <w:rPr>
          <w:sz w:val="22"/>
          <w:szCs w:val="22"/>
        </w:rPr>
        <w:t xml:space="preserve"> or if </w:t>
      </w:r>
      <w:r w:rsidR="00694515" w:rsidRPr="005247F7">
        <w:rPr>
          <w:sz w:val="22"/>
          <w:szCs w:val="22"/>
        </w:rPr>
        <w:t>associated with raising income for</w:t>
      </w:r>
      <w:r w:rsidR="00187217">
        <w:rPr>
          <w:sz w:val="22"/>
          <w:szCs w:val="22"/>
        </w:rPr>
        <w:t xml:space="preserve"> Great Chesterford Recreation Ground </w:t>
      </w:r>
    </w:p>
    <w:p w:rsidR="00694515" w:rsidRDefault="00187217" w:rsidP="00187217">
      <w:pPr>
        <w:pStyle w:val="Default"/>
        <w:rPr>
          <w:sz w:val="22"/>
          <w:szCs w:val="22"/>
        </w:rPr>
      </w:pPr>
      <w:r>
        <w:rPr>
          <w:sz w:val="22"/>
          <w:szCs w:val="22"/>
        </w:rPr>
        <w:t xml:space="preserve">Trust: </w:t>
      </w:r>
      <w:r w:rsidR="00694515">
        <w:rPr>
          <w:sz w:val="22"/>
          <w:szCs w:val="22"/>
        </w:rPr>
        <w:tab/>
      </w:r>
      <w:r w:rsidR="00694515" w:rsidRPr="005247F7">
        <w:rPr>
          <w:sz w:val="22"/>
          <w:szCs w:val="22"/>
        </w:rPr>
        <w:t xml:space="preserve">Free-let </w:t>
      </w:r>
    </w:p>
    <w:p w:rsidR="00694515" w:rsidRPr="005247F7" w:rsidRDefault="00694515" w:rsidP="00694515">
      <w:pPr>
        <w:pStyle w:val="Default"/>
        <w:rPr>
          <w:sz w:val="22"/>
          <w:szCs w:val="22"/>
        </w:rPr>
      </w:pPr>
    </w:p>
    <w:p w:rsidR="00694515" w:rsidRPr="005247F7" w:rsidRDefault="00694515" w:rsidP="00694515">
      <w:pPr>
        <w:pStyle w:val="Default"/>
        <w:rPr>
          <w:sz w:val="22"/>
          <w:szCs w:val="22"/>
        </w:rPr>
      </w:pPr>
      <w:r w:rsidRPr="005247F7">
        <w:rPr>
          <w:sz w:val="22"/>
          <w:szCs w:val="22"/>
        </w:rPr>
        <w:t xml:space="preserve">Community or Charity events: </w:t>
      </w:r>
      <w:r>
        <w:rPr>
          <w:sz w:val="22"/>
          <w:szCs w:val="22"/>
        </w:rPr>
        <w:t>£25</w:t>
      </w:r>
    </w:p>
    <w:p w:rsidR="00694515" w:rsidRDefault="00694515" w:rsidP="00694515">
      <w:pPr>
        <w:pStyle w:val="Default"/>
        <w:rPr>
          <w:sz w:val="22"/>
          <w:szCs w:val="22"/>
        </w:rPr>
      </w:pPr>
    </w:p>
    <w:p w:rsidR="006B4C46" w:rsidRDefault="00694515" w:rsidP="00694515">
      <w:pPr>
        <w:pStyle w:val="Default"/>
        <w:rPr>
          <w:sz w:val="22"/>
          <w:szCs w:val="22"/>
        </w:rPr>
      </w:pPr>
      <w:r w:rsidRPr="005247F7">
        <w:rPr>
          <w:sz w:val="22"/>
          <w:szCs w:val="22"/>
        </w:rPr>
        <w:t>Commercial, promotional or private events:</w:t>
      </w:r>
      <w:r>
        <w:rPr>
          <w:sz w:val="22"/>
          <w:szCs w:val="22"/>
        </w:rPr>
        <w:t xml:space="preserve"> £25</w:t>
      </w:r>
      <w:r>
        <w:rPr>
          <w:sz w:val="22"/>
          <w:szCs w:val="22"/>
        </w:rPr>
        <w:tab/>
      </w:r>
    </w:p>
    <w:p w:rsidR="00694515" w:rsidRDefault="00694515" w:rsidP="00694515">
      <w:pPr>
        <w:pStyle w:val="Default"/>
        <w:rPr>
          <w:b/>
          <w:bCs/>
          <w:sz w:val="22"/>
          <w:szCs w:val="22"/>
        </w:rPr>
      </w:pPr>
      <w:r w:rsidRPr="005247F7">
        <w:rPr>
          <w:sz w:val="22"/>
          <w:szCs w:val="22"/>
        </w:rPr>
        <w:t xml:space="preserve"> </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5"/>
      </w:tblGrid>
      <w:tr w:rsidR="00694515" w:rsidTr="006B4C46">
        <w:trPr>
          <w:trHeight w:val="1404"/>
        </w:trPr>
        <w:tc>
          <w:tcPr>
            <w:tcW w:w="10625" w:type="dxa"/>
          </w:tcPr>
          <w:p w:rsidR="00694515" w:rsidRDefault="00694515" w:rsidP="00EF16A8">
            <w:pPr>
              <w:pStyle w:val="Default"/>
              <w:ind w:left="135"/>
              <w:rPr>
                <w:b/>
                <w:bCs/>
                <w:sz w:val="22"/>
                <w:szCs w:val="22"/>
              </w:rPr>
            </w:pPr>
          </w:p>
          <w:p w:rsidR="00694515" w:rsidRPr="005247F7" w:rsidRDefault="00694515" w:rsidP="00EF16A8">
            <w:pPr>
              <w:pStyle w:val="Default"/>
              <w:ind w:left="135"/>
              <w:rPr>
                <w:sz w:val="22"/>
                <w:szCs w:val="22"/>
              </w:rPr>
            </w:pPr>
            <w:r w:rsidRPr="005247F7">
              <w:rPr>
                <w:b/>
                <w:bCs/>
                <w:sz w:val="22"/>
                <w:szCs w:val="22"/>
              </w:rPr>
              <w:t xml:space="preserve">Applicants are reminded: </w:t>
            </w:r>
          </w:p>
          <w:p w:rsidR="00694515" w:rsidRPr="005247F7" w:rsidRDefault="00694515" w:rsidP="00EF16A8">
            <w:pPr>
              <w:pStyle w:val="Default"/>
              <w:ind w:left="135"/>
              <w:rPr>
                <w:sz w:val="22"/>
                <w:szCs w:val="22"/>
              </w:rPr>
            </w:pPr>
            <w:r w:rsidRPr="005247F7">
              <w:rPr>
                <w:sz w:val="22"/>
                <w:szCs w:val="22"/>
              </w:rPr>
              <w:t>The organiser must obtain the council’s permission before committing him/herself to organising th</w:t>
            </w:r>
            <w:r w:rsidR="006B4C46">
              <w:rPr>
                <w:sz w:val="22"/>
                <w:szCs w:val="22"/>
              </w:rPr>
              <w:t>e</w:t>
            </w:r>
            <w:r w:rsidRPr="005247F7">
              <w:rPr>
                <w:sz w:val="22"/>
                <w:szCs w:val="22"/>
              </w:rPr>
              <w:t xml:space="preserve"> event. </w:t>
            </w:r>
          </w:p>
          <w:p w:rsidR="00694515" w:rsidRDefault="00694515" w:rsidP="00EF16A8">
            <w:pPr>
              <w:pStyle w:val="Default"/>
              <w:ind w:left="135"/>
              <w:rPr>
                <w:sz w:val="22"/>
                <w:szCs w:val="22"/>
              </w:rPr>
            </w:pPr>
            <w:r w:rsidRPr="005247F7">
              <w:rPr>
                <w:sz w:val="22"/>
                <w:szCs w:val="22"/>
              </w:rPr>
              <w:t xml:space="preserve">No section of the Park may be fenced off and no restrictions to entry may be made and no charges levied on persons entering the Park, without obtaining special permission from the Council. </w:t>
            </w:r>
          </w:p>
          <w:p w:rsidR="00694515" w:rsidRDefault="00694515" w:rsidP="00EF16A8">
            <w:pPr>
              <w:pStyle w:val="Default"/>
              <w:ind w:left="135"/>
              <w:rPr>
                <w:b/>
                <w:bCs/>
                <w:sz w:val="22"/>
                <w:szCs w:val="22"/>
              </w:rPr>
            </w:pPr>
          </w:p>
        </w:tc>
      </w:tr>
    </w:tbl>
    <w:p w:rsidR="006B4C46" w:rsidRDefault="006B4C46" w:rsidP="00694515">
      <w:pPr>
        <w:pStyle w:val="Default"/>
        <w:rPr>
          <w:sz w:val="22"/>
          <w:szCs w:val="22"/>
        </w:rPr>
      </w:pPr>
    </w:p>
    <w:p w:rsidR="00694515" w:rsidRDefault="00694515" w:rsidP="00694515">
      <w:pPr>
        <w:pStyle w:val="Default"/>
        <w:rPr>
          <w:sz w:val="22"/>
          <w:szCs w:val="22"/>
        </w:rPr>
      </w:pPr>
      <w:r w:rsidRPr="005247F7">
        <w:rPr>
          <w:sz w:val="22"/>
          <w:szCs w:val="22"/>
        </w:rPr>
        <w:t>1. No heavy vehicles or equipment may be moved on or off the Park between the hours of midnight and 6am, to minimise disturbance to neighbouring residences, except in exceptional weather conditions.</w:t>
      </w:r>
    </w:p>
    <w:p w:rsidR="00694515" w:rsidRDefault="00694515" w:rsidP="00694515">
      <w:pPr>
        <w:pStyle w:val="Default"/>
        <w:rPr>
          <w:sz w:val="22"/>
          <w:szCs w:val="22"/>
        </w:rPr>
      </w:pPr>
      <w:r w:rsidRPr="005247F7">
        <w:rPr>
          <w:sz w:val="22"/>
          <w:szCs w:val="22"/>
        </w:rPr>
        <w:t xml:space="preserve">2. All litter must be removed from site within one hour of the close of the event. </w:t>
      </w:r>
    </w:p>
    <w:p w:rsidR="00694515" w:rsidRDefault="00694515" w:rsidP="00694515">
      <w:pPr>
        <w:pStyle w:val="Default"/>
        <w:rPr>
          <w:sz w:val="22"/>
          <w:szCs w:val="22"/>
        </w:rPr>
      </w:pPr>
      <w:r w:rsidRPr="005247F7">
        <w:rPr>
          <w:sz w:val="22"/>
          <w:szCs w:val="22"/>
        </w:rPr>
        <w:t xml:space="preserve">3. No vehicles may be taken onto the ground without permission of the Council. </w:t>
      </w:r>
    </w:p>
    <w:p w:rsidR="00694515" w:rsidRDefault="00694515" w:rsidP="00694515">
      <w:pPr>
        <w:pStyle w:val="Default"/>
        <w:rPr>
          <w:sz w:val="22"/>
          <w:szCs w:val="22"/>
        </w:rPr>
      </w:pPr>
      <w:r w:rsidRPr="005247F7">
        <w:rPr>
          <w:sz w:val="22"/>
          <w:szCs w:val="22"/>
        </w:rPr>
        <w:t xml:space="preserve">4. Any damage done to the surface of the site must be reported to </w:t>
      </w:r>
      <w:r>
        <w:rPr>
          <w:sz w:val="22"/>
          <w:szCs w:val="22"/>
        </w:rPr>
        <w:t xml:space="preserve">Great </w:t>
      </w:r>
      <w:proofErr w:type="spellStart"/>
      <w:r>
        <w:rPr>
          <w:sz w:val="22"/>
          <w:szCs w:val="22"/>
        </w:rPr>
        <w:t>Chesterford</w:t>
      </w:r>
      <w:r w:rsidRPr="005247F7">
        <w:rPr>
          <w:sz w:val="22"/>
          <w:szCs w:val="22"/>
        </w:rPr>
        <w:t>Parish</w:t>
      </w:r>
      <w:proofErr w:type="spellEnd"/>
      <w:r w:rsidRPr="005247F7">
        <w:rPr>
          <w:sz w:val="22"/>
          <w:szCs w:val="22"/>
        </w:rPr>
        <w:t xml:space="preserve"> Council at the earliest opportunity and the damage made good as quickly as possible to the Council’s satisfaction. </w:t>
      </w:r>
    </w:p>
    <w:p w:rsidR="00694515" w:rsidRPr="00696709" w:rsidRDefault="00694515" w:rsidP="00694515">
      <w:pPr>
        <w:pStyle w:val="Default"/>
        <w:rPr>
          <w:sz w:val="22"/>
          <w:szCs w:val="22"/>
        </w:rPr>
      </w:pPr>
      <w:r w:rsidRPr="005247F7">
        <w:rPr>
          <w:sz w:val="22"/>
          <w:szCs w:val="22"/>
        </w:rPr>
        <w:t>5</w:t>
      </w:r>
      <w:r w:rsidRPr="00696709">
        <w:rPr>
          <w:sz w:val="22"/>
          <w:szCs w:val="22"/>
        </w:rPr>
        <w:t xml:space="preserve">. </w:t>
      </w:r>
      <w:r w:rsidRPr="00696709">
        <w:rPr>
          <w:bCs/>
          <w:sz w:val="22"/>
          <w:szCs w:val="22"/>
        </w:rPr>
        <w:t xml:space="preserve">Byelaws </w:t>
      </w:r>
      <w:r w:rsidRPr="00696709">
        <w:rPr>
          <w:sz w:val="22"/>
          <w:szCs w:val="22"/>
        </w:rPr>
        <w:t xml:space="preserve">– The event organizer(s) shall observe &amp; comply with Council Byelaws. </w:t>
      </w:r>
    </w:p>
    <w:p w:rsidR="00187217" w:rsidRDefault="00694515" w:rsidP="00187217">
      <w:pPr>
        <w:pStyle w:val="Default"/>
        <w:rPr>
          <w:sz w:val="22"/>
          <w:szCs w:val="22"/>
        </w:rPr>
      </w:pPr>
      <w:r w:rsidRPr="00696709">
        <w:rPr>
          <w:sz w:val="22"/>
          <w:szCs w:val="22"/>
        </w:rPr>
        <w:t xml:space="preserve">6. </w:t>
      </w:r>
      <w:r w:rsidRPr="00696709">
        <w:rPr>
          <w:bCs/>
          <w:sz w:val="22"/>
          <w:szCs w:val="22"/>
        </w:rPr>
        <w:t>Stage/PA Equipment</w:t>
      </w:r>
      <w:r w:rsidRPr="005247F7">
        <w:rPr>
          <w:b/>
          <w:bCs/>
          <w:sz w:val="22"/>
          <w:szCs w:val="22"/>
        </w:rPr>
        <w:t xml:space="preserve"> </w:t>
      </w:r>
      <w:r w:rsidRPr="005247F7">
        <w:rPr>
          <w:sz w:val="22"/>
          <w:szCs w:val="22"/>
        </w:rPr>
        <w:t xml:space="preserve">– Any stage or PA equipment must be positioned on the ground as directed by an appropriate Council Officer. </w:t>
      </w:r>
    </w:p>
    <w:p w:rsidR="00694515" w:rsidRPr="005247F7" w:rsidRDefault="00694515" w:rsidP="00187217">
      <w:pPr>
        <w:pStyle w:val="Default"/>
        <w:rPr>
          <w:color w:val="auto"/>
          <w:sz w:val="22"/>
          <w:szCs w:val="22"/>
        </w:rPr>
      </w:pPr>
      <w:r w:rsidRPr="00696709">
        <w:rPr>
          <w:sz w:val="22"/>
          <w:szCs w:val="22"/>
        </w:rPr>
        <w:t xml:space="preserve">7. </w:t>
      </w:r>
      <w:r w:rsidRPr="00696709">
        <w:rPr>
          <w:bCs/>
          <w:sz w:val="22"/>
          <w:szCs w:val="22"/>
        </w:rPr>
        <w:t xml:space="preserve">Noise control </w:t>
      </w:r>
      <w:r w:rsidRPr="00696709">
        <w:rPr>
          <w:sz w:val="22"/>
          <w:szCs w:val="22"/>
        </w:rPr>
        <w:t xml:space="preserve">– Noise levels generated by the event and specifically by the use of PA equipment must be kept to a minimum throughout the duration of the event, so as not to unduly disturb other users of the ground or occupants of surrounding commercial or residential properties. Advice on appropriate noise levels should be sought from Uttlesford District Council’s Licensing Department 01799 510510.                                                                             </w:t>
      </w:r>
      <w:r w:rsidRPr="00696709">
        <w:rPr>
          <w:color w:val="auto"/>
          <w:sz w:val="22"/>
          <w:szCs w:val="22"/>
        </w:rPr>
        <w:t xml:space="preserve">8. </w:t>
      </w:r>
      <w:r w:rsidRPr="00696709">
        <w:rPr>
          <w:bCs/>
          <w:color w:val="auto"/>
          <w:sz w:val="22"/>
          <w:szCs w:val="22"/>
        </w:rPr>
        <w:t>Temporary Events Notices/Public Entertainment License</w:t>
      </w:r>
      <w:r w:rsidRPr="005247F7">
        <w:rPr>
          <w:b/>
          <w:bCs/>
          <w:color w:val="auto"/>
          <w:sz w:val="22"/>
          <w:szCs w:val="22"/>
        </w:rPr>
        <w:t xml:space="preserve"> </w:t>
      </w:r>
      <w:r w:rsidRPr="005247F7">
        <w:rPr>
          <w:color w:val="auto"/>
          <w:sz w:val="22"/>
          <w:szCs w:val="22"/>
        </w:rPr>
        <w:t xml:space="preserve">– All stipulations of a Temporary Events Notice (TEN) must be observed and adhered to, as advised by </w:t>
      </w:r>
      <w:r>
        <w:rPr>
          <w:color w:val="auto"/>
          <w:sz w:val="22"/>
          <w:szCs w:val="22"/>
        </w:rPr>
        <w:t xml:space="preserve">Uttlesford </w:t>
      </w:r>
      <w:r w:rsidRPr="005247F7">
        <w:rPr>
          <w:color w:val="auto"/>
          <w:sz w:val="22"/>
          <w:szCs w:val="22"/>
        </w:rPr>
        <w:t xml:space="preserve">District Council’s Licensing Department. Hirers are responsible for obtaining a Public Entertainment License. </w:t>
      </w:r>
    </w:p>
    <w:p w:rsidR="00694515" w:rsidRPr="005247F7" w:rsidRDefault="00694515" w:rsidP="00694515">
      <w:pPr>
        <w:pStyle w:val="Default"/>
        <w:rPr>
          <w:color w:val="auto"/>
          <w:sz w:val="22"/>
          <w:szCs w:val="22"/>
        </w:rPr>
      </w:pPr>
      <w:r w:rsidRPr="005247F7">
        <w:rPr>
          <w:color w:val="auto"/>
          <w:sz w:val="22"/>
          <w:szCs w:val="22"/>
        </w:rPr>
        <w:t xml:space="preserve">9. Any catering units or food stalls must comply with appropriate food hygiene regulations as advised by </w:t>
      </w:r>
      <w:r>
        <w:rPr>
          <w:color w:val="auto"/>
          <w:sz w:val="22"/>
          <w:szCs w:val="22"/>
        </w:rPr>
        <w:t xml:space="preserve">Uttlesford </w:t>
      </w:r>
      <w:r w:rsidRPr="005247F7">
        <w:rPr>
          <w:color w:val="auto"/>
          <w:sz w:val="22"/>
          <w:szCs w:val="22"/>
        </w:rPr>
        <w:t xml:space="preserve">District Council’s Environmental Health Department. </w:t>
      </w:r>
    </w:p>
    <w:p w:rsidR="00694515" w:rsidRPr="005247F7" w:rsidRDefault="00694515" w:rsidP="00694515">
      <w:pPr>
        <w:pStyle w:val="Default"/>
        <w:rPr>
          <w:color w:val="auto"/>
          <w:sz w:val="22"/>
          <w:szCs w:val="22"/>
        </w:rPr>
      </w:pPr>
      <w:r w:rsidRPr="005247F7">
        <w:rPr>
          <w:color w:val="auto"/>
          <w:sz w:val="22"/>
          <w:szCs w:val="22"/>
        </w:rPr>
        <w:t>10. Trade Stalls – all stipulations of a Street Trading License must be observed and adhered</w:t>
      </w:r>
      <w:r>
        <w:rPr>
          <w:color w:val="auto"/>
          <w:sz w:val="22"/>
          <w:szCs w:val="22"/>
        </w:rPr>
        <w:t xml:space="preserve"> to as advised buy Uttlesford </w:t>
      </w:r>
      <w:r w:rsidRPr="005247F7">
        <w:rPr>
          <w:color w:val="auto"/>
          <w:sz w:val="22"/>
          <w:szCs w:val="22"/>
        </w:rPr>
        <w:t xml:space="preserve">District Council’s Street Trading Department Trade stalls will require a Temporary Street License if they are within 7m of a Public Highway. </w:t>
      </w:r>
    </w:p>
    <w:p w:rsidR="00694515" w:rsidRDefault="00694515" w:rsidP="00694515">
      <w:pPr>
        <w:pStyle w:val="Default"/>
        <w:rPr>
          <w:color w:val="auto"/>
          <w:sz w:val="22"/>
          <w:szCs w:val="22"/>
        </w:rPr>
      </w:pPr>
      <w:r w:rsidRPr="005247F7">
        <w:rPr>
          <w:color w:val="auto"/>
          <w:sz w:val="22"/>
          <w:szCs w:val="22"/>
        </w:rPr>
        <w:t xml:space="preserve">11. The organiser will submit details of the music which is to be used at the event and the period of time for which it will be used. Once the event has received the Council’s permission, those details will be sent by the Council to PRS for Music. </w:t>
      </w:r>
    </w:p>
    <w:p w:rsidR="00694515" w:rsidRPr="005247F7" w:rsidRDefault="00694515" w:rsidP="00694515">
      <w:pPr>
        <w:pStyle w:val="Default"/>
        <w:rPr>
          <w:color w:val="auto"/>
          <w:sz w:val="22"/>
          <w:szCs w:val="22"/>
        </w:rPr>
      </w:pPr>
      <w:r>
        <w:rPr>
          <w:color w:val="auto"/>
          <w:sz w:val="22"/>
          <w:szCs w:val="22"/>
        </w:rPr>
        <w:t>12. Contractors Insurance - The main organiser will ensure and provide evidence that all contractors have appropriate public liability insurance.</w:t>
      </w:r>
    </w:p>
    <w:p w:rsidR="00694515" w:rsidRPr="005247F7" w:rsidRDefault="00694515" w:rsidP="00694515">
      <w:pPr>
        <w:pStyle w:val="Default"/>
        <w:rPr>
          <w:color w:val="auto"/>
          <w:sz w:val="22"/>
          <w:szCs w:val="22"/>
        </w:rPr>
      </w:pPr>
      <w:r>
        <w:rPr>
          <w:color w:val="auto"/>
          <w:sz w:val="22"/>
          <w:szCs w:val="22"/>
        </w:rPr>
        <w:t>13</w:t>
      </w:r>
      <w:r w:rsidRPr="005247F7">
        <w:rPr>
          <w:color w:val="auto"/>
          <w:sz w:val="22"/>
          <w:szCs w:val="22"/>
        </w:rPr>
        <w:t xml:space="preserve">. Event cancellation: </w:t>
      </w:r>
    </w:p>
    <w:p w:rsidR="00694515" w:rsidRPr="005247F7" w:rsidRDefault="00694515" w:rsidP="00694515">
      <w:pPr>
        <w:pStyle w:val="Default"/>
        <w:spacing w:after="17"/>
        <w:rPr>
          <w:color w:val="auto"/>
          <w:sz w:val="22"/>
          <w:szCs w:val="22"/>
        </w:rPr>
      </w:pPr>
      <w:r w:rsidRPr="005247F7">
        <w:rPr>
          <w:b/>
          <w:bCs/>
          <w:color w:val="auto"/>
          <w:sz w:val="22"/>
          <w:szCs w:val="22"/>
        </w:rPr>
        <w:t xml:space="preserve">• </w:t>
      </w:r>
      <w:r w:rsidRPr="005247F7">
        <w:rPr>
          <w:color w:val="auto"/>
          <w:sz w:val="22"/>
          <w:szCs w:val="22"/>
        </w:rPr>
        <w:t xml:space="preserve">Events may be cancelled by either party given due notice if the condition of </w:t>
      </w:r>
      <w:r>
        <w:rPr>
          <w:color w:val="auto"/>
          <w:sz w:val="22"/>
          <w:szCs w:val="22"/>
        </w:rPr>
        <w:t xml:space="preserve">Great Chesterford </w:t>
      </w:r>
      <w:r w:rsidRPr="005247F7">
        <w:rPr>
          <w:color w:val="auto"/>
          <w:sz w:val="22"/>
          <w:szCs w:val="22"/>
        </w:rPr>
        <w:t xml:space="preserve">Recreation Ground deteriorates due to inclement weather. In this case the hire fee and Bond will both be returned. </w:t>
      </w:r>
    </w:p>
    <w:p w:rsidR="00694515" w:rsidRPr="005247F7" w:rsidRDefault="00694515" w:rsidP="00694515">
      <w:pPr>
        <w:pStyle w:val="Default"/>
        <w:rPr>
          <w:color w:val="auto"/>
          <w:sz w:val="22"/>
          <w:szCs w:val="22"/>
        </w:rPr>
      </w:pPr>
      <w:r w:rsidRPr="005247F7">
        <w:rPr>
          <w:b/>
          <w:bCs/>
          <w:color w:val="auto"/>
          <w:sz w:val="22"/>
          <w:szCs w:val="22"/>
        </w:rPr>
        <w:t xml:space="preserve">• </w:t>
      </w:r>
      <w:r w:rsidRPr="005247F7">
        <w:rPr>
          <w:color w:val="auto"/>
          <w:sz w:val="22"/>
          <w:szCs w:val="22"/>
        </w:rPr>
        <w:t>If an event is cancelled within 5 wo</w:t>
      </w:r>
      <w:r>
        <w:rPr>
          <w:color w:val="auto"/>
          <w:sz w:val="22"/>
          <w:szCs w:val="22"/>
        </w:rPr>
        <w:t>rking days prior to the event,</w:t>
      </w:r>
      <w:r w:rsidRPr="005247F7">
        <w:rPr>
          <w:color w:val="auto"/>
          <w:sz w:val="22"/>
          <w:szCs w:val="22"/>
        </w:rPr>
        <w:t xml:space="preserve"> the hire fee will be forfeited. </w:t>
      </w:r>
    </w:p>
    <w:p w:rsidR="00694515" w:rsidRDefault="00694515" w:rsidP="00694515">
      <w:pPr>
        <w:pStyle w:val="Default"/>
        <w:rPr>
          <w:color w:val="auto"/>
          <w:sz w:val="22"/>
          <w:szCs w:val="22"/>
        </w:rPr>
      </w:pPr>
      <w:r>
        <w:rPr>
          <w:color w:val="auto"/>
          <w:sz w:val="22"/>
          <w:szCs w:val="22"/>
        </w:rPr>
        <w:t>14</w:t>
      </w:r>
      <w:r w:rsidRPr="005247F7">
        <w:rPr>
          <w:color w:val="auto"/>
          <w:sz w:val="22"/>
          <w:szCs w:val="22"/>
        </w:rPr>
        <w:t>. The application form (pages 1 – 3</w:t>
      </w:r>
      <w:r>
        <w:rPr>
          <w:color w:val="auto"/>
          <w:sz w:val="22"/>
          <w:szCs w:val="22"/>
        </w:rPr>
        <w:t>) and the Hire Agreement (page 4</w:t>
      </w:r>
      <w:r w:rsidRPr="005247F7">
        <w:rPr>
          <w:color w:val="auto"/>
          <w:sz w:val="22"/>
          <w:szCs w:val="22"/>
        </w:rPr>
        <w:t xml:space="preserve">) must be completed and sent to the Council. When permission is given, the Council representative will sign the Hire Agreement, which will then be returned to the Hirer at the address given on the application form. The booking will be confirmed when the signed Lease Agreement, the hire fee and the Bond are in the hands of the Council. </w:t>
      </w:r>
    </w:p>
    <w:p w:rsidR="00694515" w:rsidRPr="005247F7" w:rsidRDefault="00694515" w:rsidP="00694515">
      <w:pPr>
        <w:pStyle w:val="Default"/>
        <w:rPr>
          <w:color w:val="auto"/>
          <w:sz w:val="22"/>
          <w:szCs w:val="22"/>
        </w:rPr>
      </w:pPr>
    </w:p>
    <w:p w:rsidR="00187217" w:rsidRDefault="00187217" w:rsidP="00694515">
      <w:pPr>
        <w:pStyle w:val="Default"/>
        <w:rPr>
          <w:color w:val="auto"/>
          <w:sz w:val="22"/>
          <w:szCs w:val="22"/>
        </w:rPr>
      </w:pPr>
    </w:p>
    <w:p w:rsidR="00694515" w:rsidRPr="006B4C46" w:rsidRDefault="00187217" w:rsidP="006B4C46">
      <w:pPr>
        <w:pStyle w:val="Default"/>
        <w:rPr>
          <w:sz w:val="22"/>
          <w:szCs w:val="22"/>
        </w:rPr>
      </w:pPr>
      <w:r w:rsidRPr="006B4C46">
        <w:rPr>
          <w:color w:val="auto"/>
          <w:sz w:val="22"/>
          <w:szCs w:val="22"/>
        </w:rPr>
        <w:t>Kate Stacey</w:t>
      </w:r>
      <w:r w:rsidR="006B4C46" w:rsidRPr="006B4C46">
        <w:rPr>
          <w:color w:val="auto"/>
          <w:sz w:val="22"/>
          <w:szCs w:val="22"/>
        </w:rPr>
        <w:t xml:space="preserve">, Clerk to the Council, </w:t>
      </w:r>
      <w:r w:rsidRPr="006B4C46">
        <w:rPr>
          <w:sz w:val="22"/>
          <w:szCs w:val="22"/>
        </w:rPr>
        <w:t>April 2023</w:t>
      </w:r>
    </w:p>
    <w:sectPr w:rsidR="00694515" w:rsidRPr="006B4C46" w:rsidSect="006B4C46">
      <w:headerReference w:type="default" r:id="rId7"/>
      <w:pgSz w:w="11906" w:h="16838"/>
      <w:pgMar w:top="720" w:right="567"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19" w:rsidRDefault="008F4519" w:rsidP="00187217">
      <w:pPr>
        <w:spacing w:after="0" w:line="240" w:lineRule="auto"/>
      </w:pPr>
      <w:r>
        <w:separator/>
      </w:r>
    </w:p>
  </w:endnote>
  <w:endnote w:type="continuationSeparator" w:id="0">
    <w:p w:rsidR="008F4519" w:rsidRDefault="008F4519" w:rsidP="00187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19" w:rsidRDefault="008F4519" w:rsidP="00187217">
      <w:pPr>
        <w:spacing w:after="0" w:line="240" w:lineRule="auto"/>
      </w:pPr>
      <w:r>
        <w:separator/>
      </w:r>
    </w:p>
  </w:footnote>
  <w:footnote w:type="continuationSeparator" w:id="0">
    <w:p w:rsidR="008F4519" w:rsidRDefault="008F4519" w:rsidP="00187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imes New Roman" w:hAnsi="Arial" w:cs="Arial"/>
        <w:b/>
        <w:bCs/>
        <w:sz w:val="40"/>
        <w:szCs w:val="40"/>
        <w:lang w:eastAsia="en-US"/>
      </w:rPr>
      <w:alias w:val="Title"/>
      <w:id w:val="77738743"/>
      <w:placeholder>
        <w:docPart w:val="B051AD19A8584499B192E5A1BB1E3376"/>
      </w:placeholder>
      <w:dataBinding w:prefixMappings="xmlns:ns0='http://schemas.openxmlformats.org/package/2006/metadata/core-properties' xmlns:ns1='http://purl.org/dc/elements/1.1/'" w:xpath="/ns0:coreProperties[1]/ns1:title[1]" w:storeItemID="{6C3C8BC8-F283-45AE-878A-BAB7291924A1}"/>
      <w:text/>
    </w:sdtPr>
    <w:sdtEndPr/>
    <w:sdtContent>
      <w:p w:rsidR="00187217" w:rsidRPr="000A4884" w:rsidRDefault="00187217" w:rsidP="00187217">
        <w:pPr>
          <w:pBdr>
            <w:bottom w:val="thickThinSmallGap" w:sz="24" w:space="1" w:color="622423"/>
          </w:pBdr>
          <w:tabs>
            <w:tab w:val="center" w:pos="4513"/>
            <w:tab w:val="right" w:pos="9026"/>
          </w:tabs>
          <w:spacing w:after="0" w:line="240" w:lineRule="auto"/>
          <w:ind w:left="360"/>
          <w:jc w:val="center"/>
          <w:rPr>
            <w:rFonts w:ascii="Arial" w:eastAsia="Times New Roman" w:hAnsi="Arial" w:cs="Arial"/>
            <w:b/>
            <w:bCs/>
            <w:sz w:val="32"/>
            <w:szCs w:val="32"/>
            <w:lang w:eastAsia="en-US"/>
          </w:rPr>
        </w:pPr>
        <w:r>
          <w:rPr>
            <w:rFonts w:ascii="Arial" w:eastAsia="Times New Roman" w:hAnsi="Arial" w:cs="Arial"/>
            <w:b/>
            <w:bCs/>
            <w:sz w:val="40"/>
            <w:szCs w:val="40"/>
            <w:lang w:eastAsia="en-US"/>
          </w:rPr>
          <w:t>Great Chesterford Parish Council</w:t>
        </w:r>
      </w:p>
    </w:sdtContent>
  </w:sdt>
  <w:p w:rsidR="00187217" w:rsidRDefault="001872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15"/>
    <w:rsid w:val="00060F7D"/>
    <w:rsid w:val="001447CB"/>
    <w:rsid w:val="00187217"/>
    <w:rsid w:val="00694515"/>
    <w:rsid w:val="006B4C46"/>
    <w:rsid w:val="00790EF7"/>
    <w:rsid w:val="008F4519"/>
    <w:rsid w:val="00A74517"/>
    <w:rsid w:val="00B9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15"/>
    <w:pPr>
      <w:spacing w:after="200" w:line="276" w:lineRule="auto"/>
      <w:jc w:val="left"/>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515"/>
    <w:pPr>
      <w:autoSpaceDE w:val="0"/>
      <w:autoSpaceDN w:val="0"/>
      <w:adjustRightInd w:val="0"/>
      <w:jc w:val="left"/>
    </w:pPr>
    <w:rPr>
      <w:rFonts w:ascii="Arial" w:eastAsiaTheme="minorEastAsia" w:hAnsi="Arial" w:cs="Arial"/>
      <w:color w:val="000000"/>
      <w:sz w:val="24"/>
      <w:szCs w:val="24"/>
      <w:lang w:eastAsia="en-GB"/>
    </w:rPr>
  </w:style>
  <w:style w:type="paragraph" w:styleId="Header">
    <w:name w:val="header"/>
    <w:basedOn w:val="Normal"/>
    <w:link w:val="HeaderChar"/>
    <w:uiPriority w:val="99"/>
    <w:unhideWhenUsed/>
    <w:rsid w:val="00187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217"/>
    <w:rPr>
      <w:rFonts w:eastAsiaTheme="minorEastAsia"/>
      <w:lang w:eastAsia="en-GB"/>
    </w:rPr>
  </w:style>
  <w:style w:type="paragraph" w:styleId="Footer">
    <w:name w:val="footer"/>
    <w:basedOn w:val="Normal"/>
    <w:link w:val="FooterChar"/>
    <w:uiPriority w:val="99"/>
    <w:unhideWhenUsed/>
    <w:rsid w:val="00187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217"/>
    <w:rPr>
      <w:rFonts w:eastAsiaTheme="minorEastAsia"/>
      <w:lang w:eastAsia="en-GB"/>
    </w:rPr>
  </w:style>
  <w:style w:type="paragraph" w:styleId="BalloonText">
    <w:name w:val="Balloon Text"/>
    <w:basedOn w:val="Normal"/>
    <w:link w:val="BalloonTextChar"/>
    <w:uiPriority w:val="99"/>
    <w:semiHidden/>
    <w:unhideWhenUsed/>
    <w:rsid w:val="00187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217"/>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15"/>
    <w:pPr>
      <w:spacing w:after="200" w:line="276" w:lineRule="auto"/>
      <w:jc w:val="left"/>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515"/>
    <w:pPr>
      <w:autoSpaceDE w:val="0"/>
      <w:autoSpaceDN w:val="0"/>
      <w:adjustRightInd w:val="0"/>
      <w:jc w:val="left"/>
    </w:pPr>
    <w:rPr>
      <w:rFonts w:ascii="Arial" w:eastAsiaTheme="minorEastAsia" w:hAnsi="Arial" w:cs="Arial"/>
      <w:color w:val="000000"/>
      <w:sz w:val="24"/>
      <w:szCs w:val="24"/>
      <w:lang w:eastAsia="en-GB"/>
    </w:rPr>
  </w:style>
  <w:style w:type="paragraph" w:styleId="Header">
    <w:name w:val="header"/>
    <w:basedOn w:val="Normal"/>
    <w:link w:val="HeaderChar"/>
    <w:uiPriority w:val="99"/>
    <w:unhideWhenUsed/>
    <w:rsid w:val="00187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217"/>
    <w:rPr>
      <w:rFonts w:eastAsiaTheme="minorEastAsia"/>
      <w:lang w:eastAsia="en-GB"/>
    </w:rPr>
  </w:style>
  <w:style w:type="paragraph" w:styleId="Footer">
    <w:name w:val="footer"/>
    <w:basedOn w:val="Normal"/>
    <w:link w:val="FooterChar"/>
    <w:uiPriority w:val="99"/>
    <w:unhideWhenUsed/>
    <w:rsid w:val="00187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217"/>
    <w:rPr>
      <w:rFonts w:eastAsiaTheme="minorEastAsia"/>
      <w:lang w:eastAsia="en-GB"/>
    </w:rPr>
  </w:style>
  <w:style w:type="paragraph" w:styleId="BalloonText">
    <w:name w:val="Balloon Text"/>
    <w:basedOn w:val="Normal"/>
    <w:link w:val="BalloonTextChar"/>
    <w:uiPriority w:val="99"/>
    <w:semiHidden/>
    <w:unhideWhenUsed/>
    <w:rsid w:val="00187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217"/>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51AD19A8584499B192E5A1BB1E3376"/>
        <w:category>
          <w:name w:val="General"/>
          <w:gallery w:val="placeholder"/>
        </w:category>
        <w:types>
          <w:type w:val="bbPlcHdr"/>
        </w:types>
        <w:behaviors>
          <w:behavior w:val="content"/>
        </w:behaviors>
        <w:guid w:val="{8A56A5D5-45EB-4C7D-BB95-C8E718180DC7}"/>
      </w:docPartPr>
      <w:docPartBody>
        <w:p w:rsidR="00C662F6" w:rsidRDefault="004268C7" w:rsidP="004268C7">
          <w:pPr>
            <w:pStyle w:val="B051AD19A8584499B192E5A1BB1E337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C7"/>
    <w:rsid w:val="0009231C"/>
    <w:rsid w:val="001C0988"/>
    <w:rsid w:val="0031619F"/>
    <w:rsid w:val="004268C7"/>
    <w:rsid w:val="00C6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1AD19A8584499B192E5A1BB1E3376">
    <w:name w:val="B051AD19A8584499B192E5A1BB1E3376"/>
    <w:rsid w:val="004268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1AD19A8584499B192E5A1BB1E3376">
    <w:name w:val="B051AD19A8584499B192E5A1BB1E3376"/>
    <w:rsid w:val="004268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Great Chesterford Parish Council</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Chesterford Parish Council</dc:title>
  <dc:creator>Brian Barker</dc:creator>
  <cp:lastModifiedBy>Brian Barker</cp:lastModifiedBy>
  <cp:revision>5</cp:revision>
  <dcterms:created xsi:type="dcterms:W3CDTF">2023-04-21T15:05:00Z</dcterms:created>
  <dcterms:modified xsi:type="dcterms:W3CDTF">2023-05-02T10:54:00Z</dcterms:modified>
</cp:coreProperties>
</file>